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 w:hanging="36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经济学院201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-20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学年暑期社会实践评奖评优细则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评选细则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最佳摄影团队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奖细则：由参赛团队自愿投递作品，将分为评委评选环节和线上评选环节。其中，线上评选环节将通过线上投票的方式，根据投票结果对所有参赛团队进行排名；评委评选将通过主题内涵（40分）、创意构思（30分）、视觉构思（30分）三个角度对作品进行综合评价，根据评价结果对所有参赛团队进行排名。最终排名值=评委排名*0.7+线上投票排名*0.3，根据最终排名值进行排序，所有参赛队伍中排名值最小的即为优胜团队，获得“最佳摄影团队”荣誉称号，并予以适当奖励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线上评分规则：各团队根据当期通知递交评选材料后，经济学院团委将根据材料制作展示推文和线上投票，推文和投票将通过公众号“经院小团子”进行，投票时间为10月4日-10月7日。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最佳影响力团队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评奖细则：通过参赛团队提交的媒体宣传情况汇总，根据平台级别进行赋分，社会实践相关报道投稿至国家级平台并被予以报道的，每一篇加1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，省级加8分，市级加6分，县区、校级加3分，院级及以下加1分，根据赋分加总情况进行排名；同时进行线上人气投票，根据人气投票结果得到第二个排名。最终排名值=宣传赋分排名*0.7+人气投票排名*0.3，所有参赛队伍中最终排名值最小的即为优秀团队，获得“最佳影响力团队”荣誉称号，并予以适当奖励。</w:t>
      </w:r>
    </w:p>
    <w:p>
      <w:pPr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线上评分规则：各团队根据当期通知递交评选材料后，经济学院团委将根据材料制作展示推文和线上投票，推文和投票将通过公众号“经院小团子”进行，投票时间为10月4日-10月7日。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优秀团队和五星实践团队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评奖细则：将根据以下评分细则评选出社会实践优秀团队和五星实践团队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188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基本立项</w:t>
            </w: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1、基本立项和初期策划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2、微信推文、微博等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3、媒体报道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4、其他宣传*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总结材料</w:t>
            </w: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5、总结材料上交情况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6、总结报告、论文质量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7、实践照片、视频、音频、相册等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8、个人总结、心得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9、问卷和其他可测调查结果*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</w:t>
            </w: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10、答辩得分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418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11、社会效应及其他可测成果*</w:t>
            </w:r>
          </w:p>
        </w:tc>
        <w:tc>
          <w:tcPr>
            <w:tcW w:w="823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（10）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项目说明：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附加分说明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该评分满分120分，分值上打括号的项目为附加分。其中宣传项目满分20分，附加分后不超过20分；总结材料项目满分40分，附加分后不超过40分；其他类为附加项，附加分后总分不超过120分；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基本立项和初期策划，满分10分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此项为成功立项团队，根据初期策划打分，即每支队伍已有的基础分；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微信推文、微博等，满分10分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根据各团队上报并核实的微信推文、微博宣传等线上宣传渠道的数量、质量和点击量进行打分，没有进行宣传的本项不得分；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媒体报道，满分10分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根据各团队上报并核实的校外媒体报道的数量、质量等情况进行打分，没有媒体报道的本项不得分；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其他宣传，附加分5分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有以上未提到的其他渠道宣传社会实践团队成果的，自行上报并经核实的，酌情加1-5分；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总结材料上交情况，满分20分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根据个团队上交的总结材料的完整性和及时性进行打分，上交总结报告即有基础分10分，未在规定时间内上交材料或材料有缺漏的将酌情扣分（从20分开始扣分，得分不低于10分，不上交材料得0分）；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总结报告、论文质量，满分15分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上交了总结报告、论文的团队将获得基础分5分，在此基础上将根据团队论文、报告的创新性、充实性和逻辑性等方面进行评分；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实践照片、视频、音频、相册等，满分10分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依据材料上交情况及材料完成情况打分；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个人总结、心得，满分5分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依据材料上交情况及材料完成情况打分；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问卷和其他可测调查结果，附加分5分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对进行了问卷调查并取得一定成果，或通过其他调查渠道（不包括查阅各种纸质、电子材料）取得可测结果的团队酌情给予1-5分；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答辩得分，满分40分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根据在学院的社会实践答辩中，各团队以答辩形式进行社会实践展示分享交流所获得的评分，折算成满分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0分得到答辩得分；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color w:val="C55A11" w:themeColor="accent2" w:themeShade="BF"/>
          <w:sz w:val="24"/>
          <w:szCs w:val="24"/>
        </w:rPr>
      </w:pPr>
      <w:r>
        <w:rPr>
          <w:rFonts w:hint="eastAsia"/>
          <w:color w:val="C55A11" w:themeColor="accent2" w:themeShade="BF"/>
          <w:sz w:val="24"/>
          <w:szCs w:val="24"/>
        </w:rPr>
        <w:t>社会效应及其他可测成果，附加分10分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若社会实践团队在社会实践过程中产生了一定的社会效应，或有其他形式的实践成果，自行上交可证明实践过程的资料（如实践实物成果）和相关说明，经核实认定后酌情给予1-10分。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优秀团队和五星团队评选规则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评选分两轮进行，第一轮初选，根据评奖打分中除答辩外的得分，对所有立项团队按得分从高到低排列，选出前</w:t>
      </w:r>
      <w:r>
        <w:rPr>
          <w:rFonts w:hint="eastAsia"/>
          <w:sz w:val="24"/>
          <w:szCs w:val="24"/>
          <w:lang w:val="en-US" w:eastAsia="zh-CN"/>
        </w:rPr>
        <w:t>十</w:t>
      </w:r>
      <w:r>
        <w:rPr>
          <w:rFonts w:hint="eastAsia"/>
          <w:sz w:val="24"/>
          <w:szCs w:val="24"/>
        </w:rPr>
        <w:t>的队伍入围第二轮终选答辩。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答辩结果得出后，将团队的所有得分按照评奖细则进行加总，得出前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eastAsia"/>
          <w:sz w:val="24"/>
          <w:szCs w:val="24"/>
        </w:rPr>
        <w:t>的团队为“社会实践优秀团队”，在“优秀团队”中得分第一的队伍为“五星团队”，这两项荣誉及其奖金不兼得。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社会实践答辩评分规则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总则：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1.评分规则适用于所有队伍，如有异议，请联系工作团队。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2.答辩评分分为两部分，观众投票评分和评委评分，分别比重为30%和70%，满分100分。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3.本次答辩共设四名评委，取四位评委的均分为评委评分的最终成绩。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4.对最终成绩有异议者可在场外向工作团队提出。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5.本规则最终解释权归实践部所有。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评委评分细则：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1.服装得体，仪容整洁，礼貌大方，该项目占5分。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2.语言表达清晰，言辞合乎规范，无煽动性语言与歧视性语言，该项目占10分。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3.PPT制作美观精致，内容充实，准备用心，表达出了社会实践内容的核心，该项目占10分。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4.活动具有明确的核心立意，主题鲜明，目的明确，实践活动围绕主题展开，该项目占10分。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5.实践前期准备充分，实践过程顺利，做出较多的实事，该项目占15分。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6.实践成果突出，社会影响较为广泛，具有积极的带动作用，对社会现实有较为深入的思考与体会，该项目占35分。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7.在回答评委与观众问题时表达流畅，回答问题效果好，该项目占10分</w:t>
      </w:r>
    </w:p>
    <w:p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8.时间控制合理，该项目占5分，每超出十五秒扣除一分，不足十五秒按十五秒记。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06"/>
        <w:gridCol w:w="1446"/>
        <w:gridCol w:w="1446"/>
        <w:gridCol w:w="144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>
            <w:pPr>
              <w:tabs>
                <w:tab w:val="center" w:pos="615"/>
              </w:tabs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S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87" w:type="dxa"/>
          </w:tcPr>
          <w:p>
            <w:pPr>
              <w:ind w:left="240" w:hanging="240" w:hanging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服装仪表（5分）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8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语言表达</w:t>
            </w:r>
          </w:p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8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PPT制作</w:t>
            </w:r>
          </w:p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8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实践主题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8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实践过程</w:t>
            </w:r>
          </w:p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8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实践成果</w:t>
            </w:r>
          </w:p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（35分）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8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问题回答</w:t>
            </w:r>
          </w:p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8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时间控制</w:t>
            </w:r>
          </w:p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（5分）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8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（100分）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387" w:type="dxa"/>
          </w:tcPr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</w:t>
            </w:r>
          </w:p>
          <w:p>
            <w:pPr>
              <w:ind w:firstLine="240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15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观众评分细则：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答辩开始前分发团队简介和出场顺序表，在所有答辩结束后，分发投票表，每位观众在所有团队中投出五票。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根据各团队得到观众投票票数从高到低排序并赋分：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得分（满分100）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</w:p>
        </w:tc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5-7</w:t>
            </w:r>
          </w:p>
        </w:tc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8-10</w:t>
            </w:r>
          </w:p>
        </w:tc>
        <w:tc>
          <w:tcPr>
            <w:tcW w:w="41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</w:tbl>
    <w:p>
      <w:pPr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荣誉设置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051"/>
        <w:gridCol w:w="1966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奖项设置</w:t>
            </w:r>
          </w:p>
        </w:tc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评选条件</w:t>
            </w:r>
          </w:p>
        </w:tc>
        <w:tc>
          <w:tcPr>
            <w:tcW w:w="196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22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最佳摄影团队</w:t>
            </w:r>
          </w:p>
        </w:tc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最佳摄影团队评选优胜</w:t>
            </w:r>
          </w:p>
        </w:tc>
        <w:tc>
          <w:tcPr>
            <w:tcW w:w="1966" w:type="dxa"/>
          </w:tcPr>
          <w:p>
            <w:pPr>
              <w:jc w:val="left"/>
              <w:rPr>
                <w:rFonts w:hint="eastAsia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8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第一名</w:t>
            </w:r>
            <w:r>
              <w:rPr>
                <w:rFonts w:hint="eastAsia"/>
                <w:sz w:val="24"/>
                <w:szCs w:val="24"/>
              </w:rPr>
              <w:t>资助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500元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第二名资助300元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最佳影响力团队</w:t>
            </w:r>
          </w:p>
        </w:tc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最佳影响力团队评选优胜</w:t>
            </w:r>
          </w:p>
        </w:tc>
        <w:tc>
          <w:tcPr>
            <w:tcW w:w="1966" w:type="dxa"/>
          </w:tcPr>
          <w:p>
            <w:pPr>
              <w:jc w:val="left"/>
              <w:rPr>
                <w:rFonts w:hint="eastAsia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8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第一名</w:t>
            </w:r>
            <w:r>
              <w:rPr>
                <w:rFonts w:hint="eastAsia"/>
                <w:sz w:val="24"/>
                <w:szCs w:val="24"/>
              </w:rPr>
              <w:t>资助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500元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第二名资助300元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入围团队</w:t>
            </w:r>
          </w:p>
        </w:tc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综合考评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/>
                <w:sz w:val="24"/>
                <w:szCs w:val="24"/>
              </w:rPr>
              <w:t>名队伍</w:t>
            </w:r>
          </w:p>
        </w:tc>
        <w:tc>
          <w:tcPr>
            <w:tcW w:w="1966" w:type="dxa"/>
          </w:tcPr>
          <w:p>
            <w:pPr>
              <w:jc w:val="left"/>
              <w:rPr>
                <w:rFonts w:hint="eastAsia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优秀团队（不含五星团队）</w:t>
            </w:r>
          </w:p>
        </w:tc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综合考评前二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-六</w:t>
            </w:r>
            <w:r>
              <w:rPr>
                <w:rFonts w:hint="eastAsia"/>
                <w:sz w:val="24"/>
                <w:szCs w:val="24"/>
              </w:rPr>
              <w:t>名队伍</w:t>
            </w:r>
          </w:p>
        </w:tc>
        <w:tc>
          <w:tcPr>
            <w:tcW w:w="1966" w:type="dxa"/>
          </w:tcPr>
          <w:p>
            <w:pPr>
              <w:jc w:val="left"/>
              <w:rPr>
                <w:rFonts w:hint="eastAsia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五星团队</w:t>
            </w:r>
          </w:p>
        </w:tc>
        <w:tc>
          <w:tcPr>
            <w:tcW w:w="205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综合考评第一名队伍</w:t>
            </w:r>
          </w:p>
        </w:tc>
        <w:tc>
          <w:tcPr>
            <w:tcW w:w="196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奖金1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00元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B16"/>
    <w:multiLevelType w:val="multilevel"/>
    <w:tmpl w:val="085B3B1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A93003"/>
    <w:multiLevelType w:val="multilevel"/>
    <w:tmpl w:val="20A93003"/>
    <w:lvl w:ilvl="0" w:tentative="0">
      <w:start w:val="0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DC70B8"/>
    <w:multiLevelType w:val="multilevel"/>
    <w:tmpl w:val="7FDC70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04"/>
    <w:rsid w:val="00391596"/>
    <w:rsid w:val="006D47F3"/>
    <w:rsid w:val="00777AE3"/>
    <w:rsid w:val="00881E04"/>
    <w:rsid w:val="00D0478B"/>
    <w:rsid w:val="133630D9"/>
    <w:rsid w:val="3A3F057E"/>
    <w:rsid w:val="402F3F0E"/>
    <w:rsid w:val="403B5C58"/>
    <w:rsid w:val="433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428</Words>
  <Characters>2446</Characters>
  <Lines>20</Lines>
  <Paragraphs>5</Paragraphs>
  <TotalTime>3</TotalTime>
  <ScaleCrop>false</ScaleCrop>
  <LinksUpToDate>false</LinksUpToDate>
  <CharactersWithSpaces>2869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2019-09-28T05:26:00Z</dcterms:created>
  <dc:creator>郑 嘉涵</dc:creator>
  <cp:lastModifiedBy>蚩蚩氓</cp:lastModifiedBy>
  <dcterms:modified xsi:type="dcterms:W3CDTF">2020-09-29T14:18:52Z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